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0F280" w14:textId="77777777" w:rsidR="00C54BE7" w:rsidRDefault="00C54BE7" w:rsidP="005D7987">
      <w:pPr>
        <w:jc w:val="center"/>
        <w:rPr>
          <w:b/>
          <w:bCs/>
          <w:sz w:val="32"/>
          <w:szCs w:val="32"/>
        </w:rPr>
      </w:pPr>
    </w:p>
    <w:p w14:paraId="788B23D0" w14:textId="31CDB90D" w:rsidR="005D7987" w:rsidRPr="00E145D1" w:rsidRDefault="005D7987" w:rsidP="005D7987">
      <w:pPr>
        <w:jc w:val="center"/>
        <w:rPr>
          <w:b/>
          <w:bCs/>
          <w:sz w:val="32"/>
          <w:szCs w:val="32"/>
        </w:rPr>
      </w:pPr>
      <w:r w:rsidRPr="00E145D1">
        <w:rPr>
          <w:b/>
          <w:bCs/>
          <w:sz w:val="32"/>
          <w:szCs w:val="32"/>
        </w:rPr>
        <w:t>Curriculum Policy</w:t>
      </w:r>
    </w:p>
    <w:p w14:paraId="0CE9D0C9" w14:textId="77777777" w:rsidR="005D7987" w:rsidRDefault="005D7987" w:rsidP="005D7987">
      <w:pPr>
        <w:jc w:val="center"/>
        <w:rPr>
          <w:b/>
          <w:bCs/>
        </w:rPr>
      </w:pPr>
    </w:p>
    <w:p w14:paraId="00FB69FE" w14:textId="77777777" w:rsidR="005D7987" w:rsidRPr="00D05550" w:rsidRDefault="005D7987" w:rsidP="005D7987">
      <w:pPr>
        <w:rPr>
          <w:b/>
          <w:bCs/>
        </w:rPr>
      </w:pPr>
      <w:r w:rsidRPr="00D05550">
        <w:rPr>
          <w:b/>
          <w:bCs/>
        </w:rPr>
        <w:t>Policy Statement</w:t>
      </w:r>
    </w:p>
    <w:p w14:paraId="481DE6E0" w14:textId="655C5C24" w:rsidR="005D7987" w:rsidRPr="00D05550" w:rsidRDefault="005D7987" w:rsidP="005D7987">
      <w:r>
        <w:t>Manor Care Farm</w:t>
      </w:r>
      <w:r w:rsidRPr="00D05550">
        <w:t xml:space="preserve"> is an alternative provision that is committed to providing a safe, inclusive, and nurturing learning environment for children and young people aged 5</w:t>
      </w:r>
      <w:r>
        <w:t xml:space="preserve"> to post-</w:t>
      </w:r>
      <w:r w:rsidRPr="00D05550">
        <w:t>16. Our provision operates within a low demand, child-led framework, underpinned by trauma-informed approaches and the PACE model (Playfulness, Acceptance, Curiosity, Empathy).</w:t>
      </w:r>
    </w:p>
    <w:p w14:paraId="3E2F02A8" w14:textId="77777777" w:rsidR="005D7987" w:rsidRPr="00D05550" w:rsidRDefault="005D7987" w:rsidP="005D7987">
      <w:r w:rsidRPr="00D05550">
        <w:t>Our curriculum is designed to be flexible, differentiated, and responsive, ensuring every child’s learning needs, interests, and potential barriers are addressed. We work alongside children to achieve the outcomes outlined in their Education, Health and Care Plans (EHCPs), tracking progress and providing evidence to commissioning bodies as required.</w:t>
      </w:r>
    </w:p>
    <w:p w14:paraId="2C85BFD3" w14:textId="77777777" w:rsidR="005D7987" w:rsidRPr="00D05550" w:rsidRDefault="005D7987" w:rsidP="005D7987">
      <w:r w:rsidRPr="00D05550">
        <w:t>We aim to:</w:t>
      </w:r>
    </w:p>
    <w:p w14:paraId="221CBE7F" w14:textId="77777777" w:rsidR="005D7987" w:rsidRPr="00D05550" w:rsidRDefault="005D7987" w:rsidP="005D7987">
      <w:pPr>
        <w:numPr>
          <w:ilvl w:val="0"/>
          <w:numId w:val="1"/>
        </w:numPr>
      </w:pPr>
      <w:r w:rsidRPr="00D05550">
        <w:t>Promote engagement, confidence, and independence.</w:t>
      </w:r>
    </w:p>
    <w:p w14:paraId="43C4D47F" w14:textId="77777777" w:rsidR="005D7987" w:rsidRPr="00D05550" w:rsidRDefault="005D7987" w:rsidP="005D7987">
      <w:pPr>
        <w:numPr>
          <w:ilvl w:val="0"/>
          <w:numId w:val="1"/>
        </w:numPr>
      </w:pPr>
      <w:r w:rsidRPr="00D05550">
        <w:t>Provide a broad, balanced, and inclusive curriculum that meets statutory guidance and national standards for alternative provision.</w:t>
      </w:r>
    </w:p>
    <w:p w14:paraId="7118D51D" w14:textId="77777777" w:rsidR="005D7987" w:rsidRPr="00D05550" w:rsidRDefault="005D7987" w:rsidP="005D7987">
      <w:pPr>
        <w:numPr>
          <w:ilvl w:val="0"/>
          <w:numId w:val="1"/>
        </w:numPr>
      </w:pPr>
      <w:r w:rsidRPr="00D05550">
        <w:t>Support the personal, social, and emotional development of all learners.</w:t>
      </w:r>
    </w:p>
    <w:p w14:paraId="60B4B697" w14:textId="77777777" w:rsidR="005D7987" w:rsidRDefault="005D7987" w:rsidP="005D7987">
      <w:pPr>
        <w:numPr>
          <w:ilvl w:val="0"/>
          <w:numId w:val="1"/>
        </w:numPr>
      </w:pPr>
      <w:r w:rsidRPr="00D05550">
        <w:t>Offer accredited pathways that recogni</w:t>
      </w:r>
      <w:r>
        <w:t>s</w:t>
      </w:r>
      <w:r w:rsidRPr="00D05550">
        <w:t>e achievements and progress.</w:t>
      </w:r>
    </w:p>
    <w:p w14:paraId="0FCD9ED8" w14:textId="19973E5A" w:rsidR="005D7987" w:rsidRPr="00D05550" w:rsidRDefault="005D7987" w:rsidP="005D7987">
      <w:pPr>
        <w:numPr>
          <w:ilvl w:val="0"/>
          <w:numId w:val="1"/>
        </w:numPr>
      </w:pPr>
      <w:r>
        <w:t xml:space="preserve">Promote an outdoor ethos </w:t>
      </w:r>
      <w:r w:rsidRPr="00D91555">
        <w:t>where children can feel safe, heard, and valued, connecting with animals and nature</w:t>
      </w:r>
      <w:r>
        <w:t xml:space="preserve"> within our farm-based setting</w:t>
      </w:r>
      <w:r>
        <w:t>.</w:t>
      </w:r>
    </w:p>
    <w:p w14:paraId="5E536BBB" w14:textId="77777777" w:rsidR="005D7987" w:rsidRPr="00D05550" w:rsidRDefault="005D7987" w:rsidP="005D7987"/>
    <w:p w14:paraId="4158C5AB" w14:textId="77777777" w:rsidR="005D7987" w:rsidRPr="00D05550" w:rsidRDefault="005D7987" w:rsidP="005D7987">
      <w:pPr>
        <w:rPr>
          <w:b/>
          <w:bCs/>
        </w:rPr>
      </w:pPr>
      <w:r w:rsidRPr="00D05550">
        <w:rPr>
          <w:b/>
          <w:bCs/>
        </w:rPr>
        <w:t>Curriculum Principles</w:t>
      </w:r>
    </w:p>
    <w:p w14:paraId="05A3F7B5" w14:textId="77777777" w:rsidR="005D7987" w:rsidRPr="00D05550" w:rsidRDefault="005D7987" w:rsidP="005D7987">
      <w:r w:rsidRPr="00D05550">
        <w:t>Our curriculum is guided by the following principles:</w:t>
      </w:r>
    </w:p>
    <w:p w14:paraId="7E629246" w14:textId="77777777" w:rsidR="005D7987" w:rsidRPr="00D05550" w:rsidRDefault="005D7987" w:rsidP="005D7987">
      <w:pPr>
        <w:ind w:left="720"/>
      </w:pPr>
      <w:r w:rsidRPr="00D05550">
        <w:rPr>
          <w:b/>
          <w:bCs/>
        </w:rPr>
        <w:t>Child-led and Low</w:t>
      </w:r>
      <w:r>
        <w:rPr>
          <w:b/>
          <w:bCs/>
        </w:rPr>
        <w:t xml:space="preserve"> </w:t>
      </w:r>
      <w:r w:rsidRPr="00D05550">
        <w:rPr>
          <w:b/>
          <w:bCs/>
        </w:rPr>
        <w:t>Demand Learning</w:t>
      </w:r>
    </w:p>
    <w:p w14:paraId="26927820" w14:textId="77777777" w:rsidR="005D7987" w:rsidRPr="00D05550" w:rsidRDefault="005D7987" w:rsidP="005D7987">
      <w:pPr>
        <w:numPr>
          <w:ilvl w:val="1"/>
          <w:numId w:val="2"/>
        </w:numPr>
      </w:pPr>
      <w:r w:rsidRPr="00D05550">
        <w:t>Learning activities are accessible and engaging, respecting each child’s pace and preferred mode of engagement.</w:t>
      </w:r>
    </w:p>
    <w:p w14:paraId="5C171E4B" w14:textId="77777777" w:rsidR="005D7987" w:rsidRDefault="005D7987" w:rsidP="005D7987">
      <w:pPr>
        <w:numPr>
          <w:ilvl w:val="1"/>
          <w:numId w:val="2"/>
        </w:numPr>
      </w:pPr>
      <w:r w:rsidRPr="00D05550">
        <w:t>Opportunities for choice, self-expression, and agency are embedded across all aspects of provision.</w:t>
      </w:r>
    </w:p>
    <w:p w14:paraId="740CDCD8" w14:textId="77777777" w:rsidR="00C54BE7" w:rsidRDefault="00C54BE7" w:rsidP="00C54BE7"/>
    <w:p w14:paraId="2A9AE018" w14:textId="77777777" w:rsidR="00C54BE7" w:rsidRDefault="00C54BE7" w:rsidP="00C54BE7"/>
    <w:p w14:paraId="46F123F2" w14:textId="77777777" w:rsidR="00C54BE7" w:rsidRPr="00D05550" w:rsidRDefault="00C54BE7" w:rsidP="00C54BE7"/>
    <w:p w14:paraId="7DF205B3" w14:textId="77777777" w:rsidR="005D7987" w:rsidRPr="00D05550" w:rsidRDefault="005D7987" w:rsidP="005D7987">
      <w:pPr>
        <w:numPr>
          <w:ilvl w:val="1"/>
          <w:numId w:val="2"/>
        </w:numPr>
      </w:pPr>
      <w:r w:rsidRPr="00D05550">
        <w:t>All adults adopt a child-led and low demand approach, prioritising emotional regulation, sense of safety, and a child’s window of tolerance, ensuring access to learning is possible and sustainable.</w:t>
      </w:r>
    </w:p>
    <w:p w14:paraId="48D197CB" w14:textId="77777777" w:rsidR="005D7987" w:rsidRPr="00D05550" w:rsidRDefault="005D7987" w:rsidP="005D7987">
      <w:pPr>
        <w:ind w:left="720"/>
      </w:pPr>
      <w:r w:rsidRPr="00D05550">
        <w:rPr>
          <w:b/>
          <w:bCs/>
        </w:rPr>
        <w:t>Trauma-Informed Practice</w:t>
      </w:r>
    </w:p>
    <w:p w14:paraId="2BB912A6" w14:textId="77777777" w:rsidR="005D7987" w:rsidRPr="00D05550" w:rsidRDefault="005D7987" w:rsidP="005D7987">
      <w:pPr>
        <w:numPr>
          <w:ilvl w:val="1"/>
          <w:numId w:val="2"/>
        </w:numPr>
      </w:pPr>
      <w:r w:rsidRPr="00D05550">
        <w:t>All staff are trained in trauma-informed approaches and the PACE model.</w:t>
      </w:r>
    </w:p>
    <w:p w14:paraId="760D4437" w14:textId="77777777" w:rsidR="005D7987" w:rsidRPr="00D05550" w:rsidRDefault="005D7987" w:rsidP="005D7987">
      <w:pPr>
        <w:numPr>
          <w:ilvl w:val="1"/>
          <w:numId w:val="2"/>
        </w:numPr>
      </w:pPr>
      <w:r w:rsidRPr="00D05550">
        <w:t>Relationships, emotional safety, and consistent support are prioritised alongside academic development.</w:t>
      </w:r>
    </w:p>
    <w:p w14:paraId="75FEF0FB" w14:textId="77777777" w:rsidR="005D7987" w:rsidRPr="00D05550" w:rsidRDefault="005D7987" w:rsidP="005D7987">
      <w:pPr>
        <w:ind w:left="720"/>
      </w:pPr>
      <w:r w:rsidRPr="00D05550">
        <w:rPr>
          <w:b/>
          <w:bCs/>
        </w:rPr>
        <w:t>Thematic-Based Curriculum</w:t>
      </w:r>
    </w:p>
    <w:p w14:paraId="506FC8E4" w14:textId="4678A132" w:rsidR="005D7987" w:rsidRPr="00D05550" w:rsidRDefault="005D7987" w:rsidP="005D7987">
      <w:pPr>
        <w:numPr>
          <w:ilvl w:val="1"/>
          <w:numId w:val="2"/>
        </w:numPr>
      </w:pPr>
      <w:r>
        <w:t>Lead practitioners</w:t>
      </w:r>
      <w:r w:rsidRPr="00D05550">
        <w:t xml:space="preserve"> plan </w:t>
      </w:r>
      <w:r>
        <w:t>weekly engaging</w:t>
      </w:r>
      <w:r w:rsidRPr="00D05550">
        <w:t xml:space="preserve"> themes</w:t>
      </w:r>
      <w:r>
        <w:t>.</w:t>
      </w:r>
    </w:p>
    <w:p w14:paraId="6B7AA878" w14:textId="77777777" w:rsidR="005D7987" w:rsidRPr="00D05550" w:rsidRDefault="005D7987" w:rsidP="005D7987">
      <w:pPr>
        <w:numPr>
          <w:ilvl w:val="1"/>
          <w:numId w:val="2"/>
        </w:numPr>
      </w:pPr>
      <w:r w:rsidRPr="00D05550">
        <w:t>Themes are cross-curricular and experiential, integrating practical, multi-sensory learning activities.</w:t>
      </w:r>
    </w:p>
    <w:p w14:paraId="5B9DF509" w14:textId="1E44B011" w:rsidR="005D7987" w:rsidRPr="00D05550" w:rsidRDefault="005D7987" w:rsidP="005D7987">
      <w:pPr>
        <w:numPr>
          <w:ilvl w:val="1"/>
          <w:numId w:val="2"/>
        </w:numPr>
      </w:pPr>
      <w:r w:rsidRPr="00D05550">
        <w:t xml:space="preserve">Each day includes up to four hands-on, multi-sensory learning activities relating to the </w:t>
      </w:r>
      <w:r>
        <w:t>weekly</w:t>
      </w:r>
      <w:r>
        <w:t xml:space="preserve"> </w:t>
      </w:r>
      <w:r w:rsidRPr="00D05550">
        <w:t>theme.</w:t>
      </w:r>
    </w:p>
    <w:p w14:paraId="55CE3468" w14:textId="77777777" w:rsidR="005D7987" w:rsidRPr="00D05550" w:rsidRDefault="005D7987" w:rsidP="005D7987">
      <w:pPr>
        <w:ind w:left="720"/>
      </w:pPr>
      <w:r w:rsidRPr="00D05550">
        <w:rPr>
          <w:b/>
          <w:bCs/>
        </w:rPr>
        <w:t>Core Subject Learning</w:t>
      </w:r>
    </w:p>
    <w:p w14:paraId="62BD6753" w14:textId="5964C00B" w:rsidR="005D7987" w:rsidRPr="00D05550" w:rsidRDefault="004E2D26" w:rsidP="005D7987">
      <w:pPr>
        <w:numPr>
          <w:ilvl w:val="1"/>
          <w:numId w:val="2"/>
        </w:numPr>
      </w:pPr>
      <w:r>
        <w:t>Lead practitioners</w:t>
      </w:r>
      <w:r w:rsidR="005D7987" w:rsidRPr="00D05550">
        <w:t xml:space="preserve"> plan and prepare reading, writing, and maths activities tailored to each child’s individual attainment levels.</w:t>
      </w:r>
    </w:p>
    <w:p w14:paraId="1731CA6C" w14:textId="77777777" w:rsidR="005D7987" w:rsidRPr="00D05550" w:rsidRDefault="005D7987" w:rsidP="005D7987">
      <w:pPr>
        <w:numPr>
          <w:ilvl w:val="1"/>
          <w:numId w:val="2"/>
        </w:numPr>
      </w:pPr>
      <w:r w:rsidRPr="00D05550">
        <w:t>Activities are selected, where possible, to match a child’s interests, encouraging engagement and motivation in learning.</w:t>
      </w:r>
    </w:p>
    <w:p w14:paraId="6C2F60F5" w14:textId="77777777" w:rsidR="005D7987" w:rsidRPr="00D05550" w:rsidRDefault="005D7987" w:rsidP="005D7987">
      <w:pPr>
        <w:ind w:left="720"/>
      </w:pPr>
      <w:r w:rsidRPr="00D05550">
        <w:rPr>
          <w:b/>
          <w:bCs/>
        </w:rPr>
        <w:t>Differentiation and Individual Learning</w:t>
      </w:r>
    </w:p>
    <w:p w14:paraId="70A77B08" w14:textId="77777777" w:rsidR="005D7987" w:rsidRPr="00D05550" w:rsidRDefault="005D7987" w:rsidP="005D7987">
      <w:pPr>
        <w:numPr>
          <w:ilvl w:val="1"/>
          <w:numId w:val="2"/>
        </w:numPr>
      </w:pPr>
      <w:r w:rsidRPr="00D05550">
        <w:t>Learning is tailored to each child’s individual learning needs.</w:t>
      </w:r>
    </w:p>
    <w:p w14:paraId="6427CEA0" w14:textId="78FACE9B" w:rsidR="005D7987" w:rsidRPr="00D05550" w:rsidRDefault="005D7987" w:rsidP="005D7987">
      <w:pPr>
        <w:numPr>
          <w:ilvl w:val="1"/>
          <w:numId w:val="2"/>
        </w:numPr>
      </w:pPr>
      <w:r w:rsidRPr="00D05550">
        <w:t>Small group</w:t>
      </w:r>
      <w:r w:rsidR="004E2D26">
        <w:t xml:space="preserve"> shared</w:t>
      </w:r>
      <w:r w:rsidRPr="00D05550">
        <w:t xml:space="preserve"> </w:t>
      </w:r>
      <w:r w:rsidR="004E2D26">
        <w:t xml:space="preserve">learning spaces </w:t>
      </w:r>
      <w:r w:rsidRPr="00D05550">
        <w:t>are the primary setting for learning, with alternative quiet spaces provided when required.</w:t>
      </w:r>
    </w:p>
    <w:p w14:paraId="662EBF8B" w14:textId="77777777" w:rsidR="005D7987" w:rsidRPr="00D05550" w:rsidRDefault="005D7987" w:rsidP="005D7987">
      <w:pPr>
        <w:numPr>
          <w:ilvl w:val="1"/>
          <w:numId w:val="2"/>
        </w:numPr>
      </w:pPr>
      <w:r w:rsidRPr="00D05550">
        <w:t>Reasonable adjustments and alternative recording methods are offered to remove barriers to participation.</w:t>
      </w:r>
    </w:p>
    <w:p w14:paraId="2A771528" w14:textId="77777777" w:rsidR="005D7987" w:rsidRPr="00D05550" w:rsidRDefault="005D7987" w:rsidP="005D7987">
      <w:pPr>
        <w:numPr>
          <w:ilvl w:val="1"/>
          <w:numId w:val="2"/>
        </w:numPr>
      </w:pPr>
      <w:r w:rsidRPr="00D05550">
        <w:t>We follow the outcomes outlined in each child’s</w:t>
      </w:r>
      <w:r>
        <w:t xml:space="preserve"> Provision Plan and</w:t>
      </w:r>
      <w:r w:rsidRPr="00D05550">
        <w:t xml:space="preserve"> EHCP</w:t>
      </w:r>
      <w:r>
        <w:t xml:space="preserve"> (if applicable)</w:t>
      </w:r>
      <w:r w:rsidRPr="00D05550">
        <w:t>, working alongside them to achieve these outcomes.</w:t>
      </w:r>
    </w:p>
    <w:p w14:paraId="35737B52" w14:textId="77777777" w:rsidR="005D7987" w:rsidRPr="00D05550" w:rsidRDefault="005D7987" w:rsidP="005D7987">
      <w:pPr>
        <w:ind w:left="720"/>
      </w:pPr>
      <w:r w:rsidRPr="00D05550">
        <w:rPr>
          <w:b/>
          <w:bCs/>
        </w:rPr>
        <w:t>Community Engagement</w:t>
      </w:r>
    </w:p>
    <w:p w14:paraId="29257DDA" w14:textId="112399C5" w:rsidR="005D7987" w:rsidRDefault="005D7987" w:rsidP="005D7987">
      <w:pPr>
        <w:numPr>
          <w:ilvl w:val="1"/>
          <w:numId w:val="2"/>
        </w:numPr>
      </w:pPr>
      <w:r w:rsidRPr="00D05550">
        <w:t>Activities support real-world learning and experiential development.</w:t>
      </w:r>
    </w:p>
    <w:p w14:paraId="1FFBC4F3" w14:textId="77777777" w:rsidR="00C54BE7" w:rsidRDefault="00C54BE7" w:rsidP="00C54BE7"/>
    <w:p w14:paraId="24A98156" w14:textId="77777777" w:rsidR="00C54BE7" w:rsidRDefault="00C54BE7" w:rsidP="00C54BE7"/>
    <w:p w14:paraId="71550E9A" w14:textId="77777777" w:rsidR="00C54BE7" w:rsidRDefault="00C54BE7" w:rsidP="00C54BE7"/>
    <w:p w14:paraId="1E59E199" w14:textId="77777777" w:rsidR="005D7987" w:rsidRDefault="005D7987" w:rsidP="005D7987">
      <w:pPr>
        <w:numPr>
          <w:ilvl w:val="1"/>
          <w:numId w:val="2"/>
        </w:numPr>
      </w:pPr>
      <w:r w:rsidRPr="000F2A1A">
        <w:t xml:space="preserve">Our curriculum extends beyond the classroom, providing opportunities for </w:t>
      </w:r>
      <w:r>
        <w:t>young people</w:t>
      </w:r>
      <w:r w:rsidRPr="000F2A1A">
        <w:t xml:space="preserve"> to engage with the local </w:t>
      </w:r>
      <w:r>
        <w:t>agricultural</w:t>
      </w:r>
      <w:r w:rsidRPr="000F2A1A">
        <w:t xml:space="preserve"> community</w:t>
      </w:r>
      <w:r>
        <w:t xml:space="preserve"> and offer farm-based animal care opportunities</w:t>
      </w:r>
      <w:r w:rsidRPr="000F2A1A">
        <w:t>.</w:t>
      </w:r>
    </w:p>
    <w:p w14:paraId="79307668" w14:textId="77777777" w:rsidR="005D7987" w:rsidRPr="00D05550" w:rsidRDefault="005D7987" w:rsidP="005D7987"/>
    <w:p w14:paraId="533B6D17" w14:textId="77777777" w:rsidR="005D7987" w:rsidRPr="00D05550" w:rsidRDefault="005D7987" w:rsidP="005D7987">
      <w:pPr>
        <w:rPr>
          <w:b/>
          <w:bCs/>
        </w:rPr>
      </w:pPr>
      <w:r w:rsidRPr="00D05550">
        <w:rPr>
          <w:b/>
          <w:bCs/>
        </w:rPr>
        <w:t>Curriculum Structure</w:t>
      </w:r>
    </w:p>
    <w:p w14:paraId="29D4E831" w14:textId="77777777" w:rsidR="005D7987" w:rsidRPr="00D05550" w:rsidRDefault="005D7987" w:rsidP="005D7987">
      <w:pPr>
        <w:rPr>
          <w:b/>
          <w:bCs/>
        </w:rPr>
      </w:pPr>
      <w:r w:rsidRPr="00D05550">
        <w:rPr>
          <w:b/>
          <w:bCs/>
        </w:rPr>
        <w:t>Thematic Learning</w:t>
      </w:r>
    </w:p>
    <w:p w14:paraId="67DC7BA9" w14:textId="3E85B586" w:rsidR="005D7987" w:rsidRPr="00D05550" w:rsidRDefault="00DD64D7" w:rsidP="005D7987">
      <w:pPr>
        <w:numPr>
          <w:ilvl w:val="0"/>
          <w:numId w:val="3"/>
        </w:numPr>
      </w:pPr>
      <w:r>
        <w:t>Weekly</w:t>
      </w:r>
      <w:r w:rsidR="005D7987" w:rsidRPr="00D05550">
        <w:t xml:space="preserve"> themes provide the core structure for learning across all age groups.</w:t>
      </w:r>
    </w:p>
    <w:p w14:paraId="1080F6C3" w14:textId="77777777" w:rsidR="005D7987" w:rsidRPr="00D05550" w:rsidRDefault="005D7987" w:rsidP="005D7987">
      <w:pPr>
        <w:numPr>
          <w:ilvl w:val="0"/>
          <w:numId w:val="3"/>
        </w:numPr>
      </w:pPr>
      <w:r w:rsidRPr="00D05550">
        <w:t>Themes integrate practical, sensory, and creative activities to support engagement and skill development.</w:t>
      </w:r>
    </w:p>
    <w:p w14:paraId="3E874DB0" w14:textId="1D4A7A10" w:rsidR="005D7987" w:rsidRPr="00D05550" w:rsidRDefault="005D7987" w:rsidP="005D7987">
      <w:pPr>
        <w:numPr>
          <w:ilvl w:val="0"/>
          <w:numId w:val="3"/>
        </w:numPr>
      </w:pPr>
      <w:r w:rsidRPr="00D05550">
        <w:t>Examples include</w:t>
      </w:r>
      <w:r w:rsidR="00DD64D7">
        <w:t xml:space="preserve"> animal care,</w:t>
      </w:r>
      <w:r w:rsidRPr="00D05550">
        <w:t xml:space="preserve"> nutrition and cookery, community, environment, science exploration, arts, and life skills.</w:t>
      </w:r>
    </w:p>
    <w:p w14:paraId="67BC3147" w14:textId="77777777" w:rsidR="005D7987" w:rsidRPr="00D05550" w:rsidRDefault="005D7987" w:rsidP="005D7987">
      <w:pPr>
        <w:numPr>
          <w:ilvl w:val="0"/>
          <w:numId w:val="3"/>
        </w:numPr>
      </w:pPr>
      <w:r w:rsidRPr="00D05550">
        <w:t>Engagement and progress in thematic learning and child-led projects are documented weekly through online Tapestry Journals, which are shared with parents and, where relevant, commissioning schools.</w:t>
      </w:r>
    </w:p>
    <w:p w14:paraId="39BB508D" w14:textId="77777777" w:rsidR="005D7987" w:rsidRPr="00D05550" w:rsidRDefault="005D7987" w:rsidP="005D7987">
      <w:pPr>
        <w:ind w:left="720"/>
      </w:pPr>
    </w:p>
    <w:p w14:paraId="620E104E" w14:textId="77777777" w:rsidR="005D7987" w:rsidRPr="00D05550" w:rsidRDefault="005D7987" w:rsidP="005D7987">
      <w:pPr>
        <w:rPr>
          <w:b/>
          <w:bCs/>
        </w:rPr>
      </w:pPr>
      <w:r w:rsidRPr="00D05550">
        <w:rPr>
          <w:b/>
          <w:bCs/>
        </w:rPr>
        <w:t>Core Subjects</w:t>
      </w:r>
    </w:p>
    <w:p w14:paraId="50946D6E" w14:textId="77777777" w:rsidR="005D7987" w:rsidRPr="00D05550" w:rsidRDefault="005D7987" w:rsidP="005D7987">
      <w:pPr>
        <w:numPr>
          <w:ilvl w:val="0"/>
          <w:numId w:val="4"/>
        </w:numPr>
      </w:pPr>
      <w:r w:rsidRPr="00D05550">
        <w:t>Reading, writing, and maths are planned and differentiated based on each child’s attainment and learning profile.</w:t>
      </w:r>
    </w:p>
    <w:p w14:paraId="693700C8" w14:textId="77777777" w:rsidR="005D7987" w:rsidRPr="00D05550" w:rsidRDefault="005D7987" w:rsidP="005D7987">
      <w:pPr>
        <w:numPr>
          <w:ilvl w:val="0"/>
          <w:numId w:val="4"/>
        </w:numPr>
      </w:pPr>
      <w:r w:rsidRPr="00D05550">
        <w:t>Activities aim to combine skills development with interests, ensuring motivation and engagement.</w:t>
      </w:r>
    </w:p>
    <w:p w14:paraId="7E25E11A" w14:textId="77777777" w:rsidR="005D7987" w:rsidRPr="00D05550" w:rsidRDefault="005D7987" w:rsidP="005D7987">
      <w:pPr>
        <w:numPr>
          <w:ilvl w:val="0"/>
          <w:numId w:val="4"/>
        </w:numPr>
      </w:pPr>
      <w:r w:rsidRPr="00D05550">
        <w:t>Learning is delivered in a supportive, low demand, child-led way, ensuring children’s emotional regulation and sense of safety are prioritised.</w:t>
      </w:r>
    </w:p>
    <w:p w14:paraId="0E39AA98" w14:textId="77777777" w:rsidR="005D7987" w:rsidRPr="00D05550" w:rsidRDefault="005D7987" w:rsidP="005D7987"/>
    <w:p w14:paraId="55523E58" w14:textId="77777777" w:rsidR="005D7987" w:rsidRPr="00C11A56" w:rsidRDefault="005D7987" w:rsidP="005D7987">
      <w:pPr>
        <w:rPr>
          <w:b/>
          <w:bCs/>
        </w:rPr>
      </w:pPr>
      <w:r w:rsidRPr="00C11A56">
        <w:rPr>
          <w:b/>
          <w:bCs/>
        </w:rPr>
        <w:t>Accredited Learning Pathways</w:t>
      </w:r>
    </w:p>
    <w:p w14:paraId="4F2E877D" w14:textId="184B6AC0" w:rsidR="005D7987" w:rsidRPr="00C11A56" w:rsidRDefault="005D7987" w:rsidP="005D7987">
      <w:r w:rsidRPr="00C11A56">
        <w:t xml:space="preserve">Alongside our adapted, thematic curriculum, </w:t>
      </w:r>
      <w:r w:rsidR="00DD64D7">
        <w:t>Manor Care Farm</w:t>
      </w:r>
      <w:r>
        <w:t xml:space="preserve"> </w:t>
      </w:r>
      <w:r w:rsidRPr="00C11A56">
        <w:t>offers a range of accredited and recognised learning pathways. These pathways are carefully selected to be flexible, accessible, and appropriate for</w:t>
      </w:r>
      <w:r>
        <w:t xml:space="preserve"> our</w:t>
      </w:r>
      <w:r w:rsidRPr="00C11A56">
        <w:t xml:space="preserve"> children and young people</w:t>
      </w:r>
      <w:r>
        <w:t>.</w:t>
      </w:r>
    </w:p>
    <w:p w14:paraId="4710B83A" w14:textId="77777777" w:rsidR="005D7987" w:rsidRPr="00C11A56" w:rsidRDefault="005D7987" w:rsidP="005D7987">
      <w:pPr>
        <w:rPr>
          <w:b/>
          <w:bCs/>
        </w:rPr>
      </w:pPr>
      <w:r w:rsidRPr="00C11A56">
        <w:rPr>
          <w:b/>
          <w:bCs/>
        </w:rPr>
        <w:t>AQA Unit Award Scheme (UAS)</w:t>
      </w:r>
    </w:p>
    <w:p w14:paraId="67785F89" w14:textId="77777777" w:rsidR="005D7987" w:rsidRDefault="005D7987" w:rsidP="005D7987">
      <w:r w:rsidRPr="00C11A56">
        <w:t>The AQA Unit Award Scheme (UAS) provides a highly flexible accreditation route designed to recognise small steps of progress and meaningful engagement in learning.</w:t>
      </w:r>
    </w:p>
    <w:p w14:paraId="07C5CDB3" w14:textId="77777777" w:rsidR="00C54BE7" w:rsidRDefault="00C54BE7" w:rsidP="005D7987"/>
    <w:p w14:paraId="6E4E4F48" w14:textId="77777777" w:rsidR="00C54BE7" w:rsidRPr="00C11A56" w:rsidRDefault="00C54BE7" w:rsidP="005D7987"/>
    <w:p w14:paraId="0FF5FC24" w14:textId="77777777" w:rsidR="005D7987" w:rsidRPr="00C11A56" w:rsidRDefault="005D7987" w:rsidP="005D7987">
      <w:pPr>
        <w:numPr>
          <w:ilvl w:val="0"/>
          <w:numId w:val="9"/>
        </w:numPr>
      </w:pPr>
      <w:r w:rsidRPr="00C11A56">
        <w:t>UAS units are available from Entry Level to Level 2 and are teacher-assessed, removing the pressure of formal examinations.</w:t>
      </w:r>
    </w:p>
    <w:p w14:paraId="466E1907" w14:textId="4DBE1D1A" w:rsidR="005D7987" w:rsidRPr="00C11A56" w:rsidRDefault="005D7987" w:rsidP="00DD64D7">
      <w:pPr>
        <w:numPr>
          <w:ilvl w:val="0"/>
          <w:numId w:val="9"/>
        </w:numPr>
      </w:pPr>
      <w:r w:rsidRPr="00C11A56">
        <w:t>Units can be completed individually or built into a wider programme of learning, allowing staff to adapt delivery to each child’s needs, pace, and emotional readiness.</w:t>
      </w:r>
    </w:p>
    <w:p w14:paraId="08C2F265" w14:textId="77777777" w:rsidR="005D7987" w:rsidRPr="00C11A56" w:rsidRDefault="005D7987" w:rsidP="005D7987">
      <w:pPr>
        <w:numPr>
          <w:ilvl w:val="0"/>
          <w:numId w:val="9"/>
        </w:numPr>
      </w:pPr>
      <w:r w:rsidRPr="00C11A56">
        <w:t>Achievement is recorded through portfolios of evidence, which may include photographs, observations, written work, creative outputs, and practical demonstrations.</w:t>
      </w:r>
    </w:p>
    <w:p w14:paraId="39D9BFCB" w14:textId="77777777" w:rsidR="005D7987" w:rsidRPr="00C11A56" w:rsidRDefault="005D7987" w:rsidP="005D7987">
      <w:pPr>
        <w:numPr>
          <w:ilvl w:val="0"/>
          <w:numId w:val="9"/>
        </w:numPr>
      </w:pPr>
      <w:r w:rsidRPr="00C11A56">
        <w:t xml:space="preserve">The scheme is particularly well suited to </w:t>
      </w:r>
      <w:r>
        <w:t>children and young people</w:t>
      </w:r>
      <w:r w:rsidRPr="00C11A56">
        <w:t xml:space="preserve"> who may struggle with traditional assessment models, supporting confidence, motivation, and sustained engagement.</w:t>
      </w:r>
    </w:p>
    <w:p w14:paraId="719FA3F0" w14:textId="77777777" w:rsidR="005D7987" w:rsidRPr="00C11A56" w:rsidRDefault="005D7987" w:rsidP="005D7987">
      <w:r w:rsidRPr="00C11A56">
        <w:t>Units can be selected to reflect a wide range of areas, including:</w:t>
      </w:r>
    </w:p>
    <w:p w14:paraId="14611C2F" w14:textId="77777777" w:rsidR="005D7987" w:rsidRPr="00C11A56" w:rsidRDefault="005D7987" w:rsidP="005D7987">
      <w:pPr>
        <w:numPr>
          <w:ilvl w:val="0"/>
          <w:numId w:val="10"/>
        </w:numPr>
      </w:pPr>
      <w:r w:rsidRPr="00C11A56">
        <w:t>Personal and social development</w:t>
      </w:r>
    </w:p>
    <w:p w14:paraId="6C83036C" w14:textId="77777777" w:rsidR="005D7987" w:rsidRPr="00C11A56" w:rsidRDefault="005D7987" w:rsidP="005D7987">
      <w:pPr>
        <w:numPr>
          <w:ilvl w:val="0"/>
          <w:numId w:val="10"/>
        </w:numPr>
      </w:pPr>
      <w:r w:rsidRPr="00C11A56">
        <w:t>Emotional health and wellbeing</w:t>
      </w:r>
    </w:p>
    <w:p w14:paraId="792749F5" w14:textId="77777777" w:rsidR="005D7987" w:rsidRPr="00C11A56" w:rsidRDefault="005D7987" w:rsidP="005D7987">
      <w:pPr>
        <w:numPr>
          <w:ilvl w:val="0"/>
          <w:numId w:val="10"/>
        </w:numPr>
      </w:pPr>
      <w:r w:rsidRPr="00C11A56">
        <w:t>Independence and life skills</w:t>
      </w:r>
    </w:p>
    <w:p w14:paraId="734D226E" w14:textId="77777777" w:rsidR="005D7987" w:rsidRPr="00C11A56" w:rsidRDefault="005D7987" w:rsidP="005D7987">
      <w:pPr>
        <w:numPr>
          <w:ilvl w:val="0"/>
          <w:numId w:val="10"/>
        </w:numPr>
      </w:pPr>
      <w:r w:rsidRPr="00C11A56">
        <w:t>Employability and work-related learning</w:t>
      </w:r>
    </w:p>
    <w:p w14:paraId="712EBB7C" w14:textId="77777777" w:rsidR="005D7987" w:rsidRPr="00C11A56" w:rsidRDefault="005D7987" w:rsidP="005D7987">
      <w:pPr>
        <w:numPr>
          <w:ilvl w:val="0"/>
          <w:numId w:val="10"/>
        </w:numPr>
      </w:pPr>
      <w:r w:rsidRPr="00C11A56">
        <w:t>Creative and expressive activities</w:t>
      </w:r>
    </w:p>
    <w:p w14:paraId="28DB890C" w14:textId="77777777" w:rsidR="005D7987" w:rsidRPr="00C11A56" w:rsidRDefault="005D7987" w:rsidP="005D7987">
      <w:r w:rsidRPr="00C11A56">
        <w:t xml:space="preserve">The UAS enables </w:t>
      </w:r>
      <w:r>
        <w:t>children and young people</w:t>
      </w:r>
      <w:r w:rsidRPr="00C11A56">
        <w:t xml:space="preserve"> to experience success, build self-esteem, and gain recognised outcomes that reflect their individual learning journey.</w:t>
      </w:r>
      <w:r>
        <w:t xml:space="preserve"> Upon completion of each unit, an accredited certification is provided and documented in each child and young person’s AQA folder. </w:t>
      </w:r>
    </w:p>
    <w:p w14:paraId="7C26F42B" w14:textId="77777777" w:rsidR="005D7987" w:rsidRPr="00D05550" w:rsidRDefault="005D7987" w:rsidP="005D7987"/>
    <w:p w14:paraId="7D721662" w14:textId="77777777" w:rsidR="005D7987" w:rsidRPr="00D05550" w:rsidRDefault="005D7987" w:rsidP="005D7987">
      <w:pPr>
        <w:rPr>
          <w:b/>
          <w:bCs/>
        </w:rPr>
      </w:pPr>
      <w:r w:rsidRPr="00D05550">
        <w:rPr>
          <w:b/>
          <w:bCs/>
        </w:rPr>
        <w:t>Teaching and Learning Approaches</w:t>
      </w:r>
    </w:p>
    <w:p w14:paraId="1CD1A078" w14:textId="77777777" w:rsidR="005D7987" w:rsidRPr="00C11A56" w:rsidRDefault="005D7987" w:rsidP="005D7987">
      <w:pPr>
        <w:numPr>
          <w:ilvl w:val="0"/>
          <w:numId w:val="5"/>
        </w:numPr>
      </w:pPr>
      <w:r w:rsidRPr="00C11A56">
        <w:t>Learning is hands-on, multi-sensory, and experiential, with a focus on engagement over formality.</w:t>
      </w:r>
    </w:p>
    <w:p w14:paraId="3105E09B" w14:textId="77777777" w:rsidR="005D7987" w:rsidRPr="00C11A56" w:rsidRDefault="005D7987" w:rsidP="005D7987">
      <w:pPr>
        <w:numPr>
          <w:ilvl w:val="0"/>
          <w:numId w:val="5"/>
        </w:numPr>
      </w:pPr>
      <w:r w:rsidRPr="00C11A56">
        <w:t>Staff adopt child-led strategies, offering support, scaffolding, and extension based on need.</w:t>
      </w:r>
    </w:p>
    <w:p w14:paraId="498658F3" w14:textId="77777777" w:rsidR="005D7987" w:rsidRDefault="005D7987" w:rsidP="005D7987">
      <w:pPr>
        <w:numPr>
          <w:ilvl w:val="0"/>
          <w:numId w:val="5"/>
        </w:numPr>
      </w:pPr>
      <w:r w:rsidRPr="00C11A56">
        <w:t>Emotional regulation and safety are central: adults ensure the child’s window of tolerance is maintained to allow meaningful access to learning.</w:t>
      </w:r>
    </w:p>
    <w:p w14:paraId="52D59A48" w14:textId="77777777" w:rsidR="00C54BE7" w:rsidRDefault="00C54BE7" w:rsidP="00C54BE7"/>
    <w:p w14:paraId="17604971" w14:textId="77777777" w:rsidR="00C54BE7" w:rsidRDefault="00C54BE7" w:rsidP="00C54BE7"/>
    <w:p w14:paraId="42FC1161" w14:textId="77777777" w:rsidR="00C54BE7" w:rsidRPr="00C11A56" w:rsidRDefault="00C54BE7" w:rsidP="00C54BE7"/>
    <w:p w14:paraId="420F366C" w14:textId="77777777" w:rsidR="005D7987" w:rsidRPr="00C11A56" w:rsidRDefault="005D7987" w:rsidP="005D7987">
      <w:pPr>
        <w:numPr>
          <w:ilvl w:val="0"/>
          <w:numId w:val="5"/>
        </w:numPr>
      </w:pPr>
      <w:r w:rsidRPr="00C11A56">
        <w:t>Learning is regularly reviewed, with adjustments made to ensure accessibility and relevance.</w:t>
      </w:r>
    </w:p>
    <w:p w14:paraId="5CA7A666" w14:textId="77777777" w:rsidR="005D7987" w:rsidRPr="00C11A56" w:rsidRDefault="005D7987" w:rsidP="005D7987">
      <w:pPr>
        <w:numPr>
          <w:ilvl w:val="0"/>
          <w:numId w:val="5"/>
        </w:numPr>
      </w:pPr>
      <w:r w:rsidRPr="00C11A56">
        <w:t>Assessment is formative, flexible, and strengths-based, celebrating small achievements and progress.</w:t>
      </w:r>
    </w:p>
    <w:p w14:paraId="26A776BD" w14:textId="77777777" w:rsidR="005D7987" w:rsidRPr="00D05550" w:rsidRDefault="005D7987" w:rsidP="005D7987"/>
    <w:p w14:paraId="018308C8" w14:textId="77777777" w:rsidR="005D7987" w:rsidRPr="00D05550" w:rsidRDefault="005D7987" w:rsidP="005D7987">
      <w:pPr>
        <w:rPr>
          <w:b/>
          <w:bCs/>
        </w:rPr>
      </w:pPr>
      <w:r w:rsidRPr="00D05550">
        <w:rPr>
          <w:b/>
          <w:bCs/>
        </w:rPr>
        <w:t>Inclusion, Differentiation and Accessibility</w:t>
      </w:r>
    </w:p>
    <w:p w14:paraId="1AF48526" w14:textId="77777777" w:rsidR="005D7987" w:rsidRPr="00C11A56" w:rsidRDefault="005D7987" w:rsidP="005D7987">
      <w:pPr>
        <w:numPr>
          <w:ilvl w:val="0"/>
          <w:numId w:val="6"/>
        </w:numPr>
      </w:pPr>
      <w:r w:rsidRPr="00C11A56">
        <w:t>Learning is adapted to meet individual learning profiles, including social, emotional, and cognitive needs.</w:t>
      </w:r>
    </w:p>
    <w:p w14:paraId="31A4C7E4" w14:textId="77777777" w:rsidR="005D7987" w:rsidRPr="00C11A56" w:rsidRDefault="005D7987" w:rsidP="005D7987">
      <w:pPr>
        <w:numPr>
          <w:ilvl w:val="0"/>
          <w:numId w:val="6"/>
        </w:numPr>
      </w:pPr>
      <w:r w:rsidRPr="00C11A56">
        <w:t>Reasonable adjustments and alternative recording methods are provided to ensure access for all.</w:t>
      </w:r>
    </w:p>
    <w:p w14:paraId="199546F1" w14:textId="77777777" w:rsidR="005D7987" w:rsidRPr="00C11A56" w:rsidRDefault="005D7987" w:rsidP="005D7987">
      <w:pPr>
        <w:numPr>
          <w:ilvl w:val="0"/>
          <w:numId w:val="6"/>
        </w:numPr>
      </w:pPr>
      <w:r w:rsidRPr="00C11A56">
        <w:t>Quiet or low</w:t>
      </w:r>
      <w:r>
        <w:t xml:space="preserve"> arousal</w:t>
      </w:r>
      <w:r w:rsidRPr="00C11A56">
        <w:t xml:space="preserve"> </w:t>
      </w:r>
      <w:r>
        <w:t xml:space="preserve">learning </w:t>
      </w:r>
      <w:r w:rsidRPr="00C11A56">
        <w:t>environments are available for children who require them.</w:t>
      </w:r>
    </w:p>
    <w:p w14:paraId="0ECF43DD" w14:textId="77777777" w:rsidR="005D7987" w:rsidRPr="00C11A56" w:rsidRDefault="005D7987" w:rsidP="005D7987">
      <w:pPr>
        <w:numPr>
          <w:ilvl w:val="0"/>
          <w:numId w:val="6"/>
        </w:numPr>
      </w:pPr>
      <w:r w:rsidRPr="00C11A56">
        <w:t>Small group and one-to-one support are used to scaffold learning and maximi</w:t>
      </w:r>
      <w:r>
        <w:t>s</w:t>
      </w:r>
      <w:r w:rsidRPr="00C11A56">
        <w:t>e participation.</w:t>
      </w:r>
    </w:p>
    <w:p w14:paraId="406B28E0" w14:textId="77777777" w:rsidR="005D7987" w:rsidRPr="00D05550" w:rsidRDefault="005D7987" w:rsidP="005D7987"/>
    <w:p w14:paraId="6A0BE251" w14:textId="77777777" w:rsidR="005D7987" w:rsidRPr="00D05550" w:rsidRDefault="005D7987" w:rsidP="005D7987">
      <w:pPr>
        <w:rPr>
          <w:b/>
          <w:bCs/>
        </w:rPr>
      </w:pPr>
      <w:r w:rsidRPr="00D05550">
        <w:rPr>
          <w:b/>
          <w:bCs/>
        </w:rPr>
        <w:t>Curriculum Monitoring and Evaluation</w:t>
      </w:r>
    </w:p>
    <w:p w14:paraId="64F623C7" w14:textId="0D1B5425" w:rsidR="005D7987" w:rsidRDefault="00DD64D7" w:rsidP="005D7987">
      <w:pPr>
        <w:numPr>
          <w:ilvl w:val="0"/>
          <w:numId w:val="7"/>
        </w:numPr>
      </w:pPr>
      <w:r>
        <w:t>Lead practitioners</w:t>
      </w:r>
      <w:r w:rsidR="005D7987" w:rsidRPr="00C11A56">
        <w:t xml:space="preserve"> are responsible for planning, resourcing, and delivering </w:t>
      </w:r>
      <w:r w:rsidR="005D7987">
        <w:t>our broad and adapted</w:t>
      </w:r>
      <w:r w:rsidR="005D7987" w:rsidRPr="00C11A56">
        <w:t xml:space="preserve"> curriculum.</w:t>
      </w:r>
    </w:p>
    <w:p w14:paraId="51C767C7" w14:textId="77777777" w:rsidR="005D7987" w:rsidRPr="00C11A56" w:rsidRDefault="005D7987" w:rsidP="005D7987">
      <w:pPr>
        <w:numPr>
          <w:ilvl w:val="0"/>
          <w:numId w:val="7"/>
        </w:numPr>
      </w:pPr>
      <w:r>
        <w:t xml:space="preserve">Teaching support assistants support the class lead teacher in the delivery of activities and scaffold reasonable adjustments for children and young people. </w:t>
      </w:r>
    </w:p>
    <w:p w14:paraId="69E51901" w14:textId="77777777" w:rsidR="005D7987" w:rsidRPr="00C11A56" w:rsidRDefault="005D7987" w:rsidP="005D7987">
      <w:pPr>
        <w:numPr>
          <w:ilvl w:val="0"/>
          <w:numId w:val="7"/>
        </w:numPr>
      </w:pPr>
      <w:r w:rsidRPr="00C11A56">
        <w:t>Leadership monitors:</w:t>
      </w:r>
    </w:p>
    <w:p w14:paraId="14FD21CB" w14:textId="77777777" w:rsidR="005D7987" w:rsidRPr="00C11A56" w:rsidRDefault="005D7987" w:rsidP="005D7987">
      <w:pPr>
        <w:numPr>
          <w:ilvl w:val="1"/>
          <w:numId w:val="7"/>
        </w:numPr>
      </w:pPr>
      <w:r w:rsidRPr="00C11A56">
        <w:t>Engagement levels</w:t>
      </w:r>
    </w:p>
    <w:p w14:paraId="5D331455" w14:textId="2676D8BC" w:rsidR="005D7987" w:rsidRPr="00C11A56" w:rsidRDefault="005D7987" w:rsidP="00DD64D7">
      <w:pPr>
        <w:numPr>
          <w:ilvl w:val="1"/>
          <w:numId w:val="7"/>
        </w:numPr>
      </w:pPr>
      <w:r w:rsidRPr="00C11A56">
        <w:t>Skill development and achievement</w:t>
      </w:r>
    </w:p>
    <w:p w14:paraId="1087E025" w14:textId="751E3909" w:rsidR="005D7987" w:rsidRPr="00C11A56" w:rsidRDefault="005D7987" w:rsidP="00DD64D7">
      <w:pPr>
        <w:numPr>
          <w:ilvl w:val="1"/>
          <w:numId w:val="7"/>
        </w:numPr>
      </w:pPr>
      <w:r w:rsidRPr="00C11A56">
        <w:t>Progress towards</w:t>
      </w:r>
      <w:r>
        <w:t xml:space="preserve"> Provision Plan and</w:t>
      </w:r>
      <w:r w:rsidRPr="00C11A56">
        <w:t xml:space="preserve"> EHCP outcomes</w:t>
      </w:r>
    </w:p>
    <w:p w14:paraId="47AEAE6D" w14:textId="77777777" w:rsidR="005D7987" w:rsidRDefault="005D7987" w:rsidP="005D7987">
      <w:pPr>
        <w:numPr>
          <w:ilvl w:val="0"/>
          <w:numId w:val="7"/>
        </w:numPr>
      </w:pPr>
      <w:r w:rsidRPr="00C11A56">
        <w:t>Regular evaluation ensures the curriculum remains responsive, relevant, and high-quality, in line with NSAP standards.</w:t>
      </w:r>
    </w:p>
    <w:p w14:paraId="6295D32C" w14:textId="77777777" w:rsidR="00C54BE7" w:rsidRDefault="005D7987" w:rsidP="005D7987">
      <w:pPr>
        <w:numPr>
          <w:ilvl w:val="0"/>
          <w:numId w:val="7"/>
        </w:numPr>
      </w:pPr>
      <w:r w:rsidRPr="00AF27F1">
        <w:t xml:space="preserve">Progress within each young person’s curriculum learning is monitored through our bespoke Curriculum Progress Tracker, while engagement in learning is recorded via our bespoke Engagement in Learning Log. Together, these systems </w:t>
      </w:r>
    </w:p>
    <w:p w14:paraId="46327F67" w14:textId="77777777" w:rsidR="00C54BE7" w:rsidRDefault="00C54BE7" w:rsidP="00C54BE7">
      <w:pPr>
        <w:ind w:left="720"/>
      </w:pPr>
    </w:p>
    <w:p w14:paraId="4B2C2DB6" w14:textId="77777777" w:rsidR="00C54BE7" w:rsidRDefault="00C54BE7" w:rsidP="00C54BE7">
      <w:pPr>
        <w:ind w:left="360"/>
      </w:pPr>
    </w:p>
    <w:p w14:paraId="13667447" w14:textId="1A4E5C00" w:rsidR="005D7987" w:rsidRPr="00C11A56" w:rsidRDefault="005D7987" w:rsidP="005D7987">
      <w:pPr>
        <w:numPr>
          <w:ilvl w:val="0"/>
          <w:numId w:val="7"/>
        </w:numPr>
      </w:pPr>
      <w:r w:rsidRPr="00AF27F1">
        <w:t>provide robust evidence of progress and participation for commissioning bodies when required.</w:t>
      </w:r>
    </w:p>
    <w:p w14:paraId="5C8771C0" w14:textId="77777777" w:rsidR="005D7987" w:rsidRPr="00D05550" w:rsidRDefault="005D7987" w:rsidP="005D7987"/>
    <w:p w14:paraId="5323C829" w14:textId="77777777" w:rsidR="005D7987" w:rsidRPr="00D05550" w:rsidRDefault="005D7987" w:rsidP="005D7987">
      <w:pPr>
        <w:rPr>
          <w:b/>
          <w:bCs/>
        </w:rPr>
      </w:pPr>
      <w:r w:rsidRPr="00D05550">
        <w:rPr>
          <w:b/>
          <w:bCs/>
        </w:rPr>
        <w:t>Compliance</w:t>
      </w:r>
    </w:p>
    <w:p w14:paraId="1EC2BEF0" w14:textId="194F4539" w:rsidR="005D7987" w:rsidRPr="00CE6531" w:rsidRDefault="005D7987" w:rsidP="005D7987">
      <w:r w:rsidRPr="00CE6531">
        <w:t xml:space="preserve">This policy ensures that </w:t>
      </w:r>
      <w:r w:rsidR="00DD64D7">
        <w:t>Manor Care Farm</w:t>
      </w:r>
      <w:r w:rsidRPr="00CE6531">
        <w:t xml:space="preserve"> meets the Non-School Alternative Provision National Standards, including:</w:t>
      </w:r>
    </w:p>
    <w:p w14:paraId="3023C233" w14:textId="77777777" w:rsidR="005D7987" w:rsidRPr="00D05550" w:rsidRDefault="005D7987" w:rsidP="005D7987">
      <w:pPr>
        <w:numPr>
          <w:ilvl w:val="0"/>
          <w:numId w:val="8"/>
        </w:numPr>
      </w:pPr>
      <w:r w:rsidRPr="00D05550">
        <w:t>Provision of broad and balanced curriculum.</w:t>
      </w:r>
    </w:p>
    <w:p w14:paraId="66DDDD2A" w14:textId="77777777" w:rsidR="005D7987" w:rsidRPr="00D05550" w:rsidRDefault="005D7987" w:rsidP="005D7987">
      <w:pPr>
        <w:numPr>
          <w:ilvl w:val="0"/>
          <w:numId w:val="8"/>
        </w:numPr>
      </w:pPr>
      <w:r w:rsidRPr="00D05550">
        <w:t>Individualised learning based on assessed needs and EHCP outcomes.</w:t>
      </w:r>
    </w:p>
    <w:p w14:paraId="687A8EC3" w14:textId="77777777" w:rsidR="005D7987" w:rsidRPr="00D05550" w:rsidRDefault="005D7987" w:rsidP="005D7987">
      <w:pPr>
        <w:numPr>
          <w:ilvl w:val="0"/>
          <w:numId w:val="8"/>
        </w:numPr>
      </w:pPr>
      <w:r w:rsidRPr="00D05550">
        <w:t>Accredited learning opportunities for skill recognition and progression.</w:t>
      </w:r>
    </w:p>
    <w:p w14:paraId="40C3CE5E" w14:textId="77777777" w:rsidR="005D7987" w:rsidRDefault="005D7987" w:rsidP="005D7987">
      <w:pPr>
        <w:numPr>
          <w:ilvl w:val="0"/>
          <w:numId w:val="8"/>
        </w:numPr>
      </w:pPr>
      <w:r w:rsidRPr="00D05550">
        <w:t>Safe, supportive, and trauma-informed learning environments.</w:t>
      </w:r>
    </w:p>
    <w:p w14:paraId="32D0CBD5" w14:textId="77777777" w:rsidR="005D7987" w:rsidRDefault="005D7987" w:rsidP="005D7987"/>
    <w:p w14:paraId="0F28827F" w14:textId="77777777" w:rsidR="005D7987" w:rsidRDefault="005D7987" w:rsidP="005D7987">
      <w:pPr>
        <w:rPr>
          <w:b/>
          <w:bCs/>
        </w:rPr>
      </w:pPr>
      <w:r w:rsidRPr="00CE6531">
        <w:rPr>
          <w:b/>
          <w:bCs/>
        </w:rPr>
        <w:t>Please also refer to our Post-16 Curriculum Policy.</w:t>
      </w:r>
    </w:p>
    <w:p w14:paraId="20230CFE" w14:textId="77777777" w:rsidR="005D7987" w:rsidRDefault="005D7987" w:rsidP="005D7987">
      <w:pPr>
        <w:rPr>
          <w:b/>
          <w:bCs/>
        </w:rPr>
      </w:pPr>
    </w:p>
    <w:p w14:paraId="7BB6315B" w14:textId="602BDEF7" w:rsidR="005D7987" w:rsidRPr="00CE6531" w:rsidRDefault="005D7987" w:rsidP="005D7987">
      <w:pPr>
        <w:rPr>
          <w:b/>
          <w:bCs/>
        </w:rPr>
      </w:pPr>
      <w:r w:rsidRPr="00CE6531">
        <w:rPr>
          <w:b/>
          <w:bCs/>
        </w:rPr>
        <w:t>This policy was reviewed on 0</w:t>
      </w:r>
      <w:r w:rsidR="007D4CB9">
        <w:rPr>
          <w:b/>
          <w:bCs/>
        </w:rPr>
        <w:t>9</w:t>
      </w:r>
      <w:r w:rsidRPr="00CE6531">
        <w:rPr>
          <w:b/>
          <w:bCs/>
        </w:rPr>
        <w:t xml:space="preserve">.02.2026 and will be updated annually. </w:t>
      </w:r>
    </w:p>
    <w:p w14:paraId="7E64D6A7" w14:textId="77777777" w:rsidR="006556E8" w:rsidRDefault="006556E8"/>
    <w:sectPr w:rsidR="006556E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81666" w14:textId="77777777" w:rsidR="00623313" w:rsidRDefault="00623313" w:rsidP="00C54BE7">
      <w:pPr>
        <w:spacing w:after="0" w:line="240" w:lineRule="auto"/>
      </w:pPr>
      <w:r>
        <w:separator/>
      </w:r>
    </w:p>
  </w:endnote>
  <w:endnote w:type="continuationSeparator" w:id="0">
    <w:p w14:paraId="580A1092" w14:textId="77777777" w:rsidR="00623313" w:rsidRDefault="00623313" w:rsidP="00C54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65043" w14:textId="0421BF58" w:rsidR="00C54BE7" w:rsidRDefault="00C54BE7">
    <w:pPr>
      <w:pStyle w:val="Footer"/>
    </w:pPr>
    <w:r>
      <w:t>Curriculum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651D4" w14:textId="77777777" w:rsidR="00623313" w:rsidRDefault="00623313" w:rsidP="00C54BE7">
      <w:pPr>
        <w:spacing w:after="0" w:line="240" w:lineRule="auto"/>
      </w:pPr>
      <w:r>
        <w:separator/>
      </w:r>
    </w:p>
  </w:footnote>
  <w:footnote w:type="continuationSeparator" w:id="0">
    <w:p w14:paraId="19FD9BF8" w14:textId="77777777" w:rsidR="00623313" w:rsidRDefault="00623313" w:rsidP="00C54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BB1A" w14:textId="22E61486" w:rsidR="00C54BE7" w:rsidRDefault="00C54BE7">
    <w:pPr>
      <w:pStyle w:val="Header"/>
    </w:pPr>
    <w:r>
      <w:rPr>
        <w:noProof/>
      </w:rPr>
      <w:drawing>
        <wp:anchor distT="0" distB="0" distL="114300" distR="114300" simplePos="0" relativeHeight="251659264" behindDoc="0" locked="0" layoutInCell="1" allowOverlap="1" wp14:anchorId="6FAE13A5" wp14:editId="448D957C">
          <wp:simplePos x="0" y="0"/>
          <wp:positionH relativeFrom="margin">
            <wp:align>center</wp:align>
          </wp:positionH>
          <wp:positionV relativeFrom="paragraph">
            <wp:posOffset>-368935</wp:posOffset>
          </wp:positionV>
          <wp:extent cx="1371600" cy="1201865"/>
          <wp:effectExtent l="0" t="0" r="0" b="0"/>
          <wp:wrapNone/>
          <wp:docPr id="309620177" name="Picture 1" descr="A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620177" name="Picture 1" descr="A sig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2018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392"/>
    <w:multiLevelType w:val="multilevel"/>
    <w:tmpl w:val="DC68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C75B1"/>
    <w:multiLevelType w:val="multilevel"/>
    <w:tmpl w:val="C56A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E6A00"/>
    <w:multiLevelType w:val="multilevel"/>
    <w:tmpl w:val="9EACC8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375EEC"/>
    <w:multiLevelType w:val="multilevel"/>
    <w:tmpl w:val="BA02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2B79DD"/>
    <w:multiLevelType w:val="multilevel"/>
    <w:tmpl w:val="EBB4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DD7990"/>
    <w:multiLevelType w:val="multilevel"/>
    <w:tmpl w:val="CC98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D142DF"/>
    <w:multiLevelType w:val="multilevel"/>
    <w:tmpl w:val="4840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CA7020"/>
    <w:multiLevelType w:val="multilevel"/>
    <w:tmpl w:val="785E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582A7D"/>
    <w:multiLevelType w:val="multilevel"/>
    <w:tmpl w:val="7C425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FB234C"/>
    <w:multiLevelType w:val="multilevel"/>
    <w:tmpl w:val="8168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BC71DB"/>
    <w:multiLevelType w:val="multilevel"/>
    <w:tmpl w:val="53F08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4B664B"/>
    <w:multiLevelType w:val="multilevel"/>
    <w:tmpl w:val="38FC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6545D0"/>
    <w:multiLevelType w:val="multilevel"/>
    <w:tmpl w:val="0D6A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D71150"/>
    <w:multiLevelType w:val="multilevel"/>
    <w:tmpl w:val="CAB63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416985">
    <w:abstractNumId w:val="9"/>
  </w:num>
  <w:num w:numId="2" w16cid:durableId="546451456">
    <w:abstractNumId w:val="2"/>
  </w:num>
  <w:num w:numId="3" w16cid:durableId="933511058">
    <w:abstractNumId w:val="3"/>
  </w:num>
  <w:num w:numId="4" w16cid:durableId="975835849">
    <w:abstractNumId w:val="0"/>
  </w:num>
  <w:num w:numId="5" w16cid:durableId="1357730954">
    <w:abstractNumId w:val="4"/>
  </w:num>
  <w:num w:numId="6" w16cid:durableId="1960411133">
    <w:abstractNumId w:val="10"/>
  </w:num>
  <w:num w:numId="7" w16cid:durableId="430442628">
    <w:abstractNumId w:val="8"/>
  </w:num>
  <w:num w:numId="8" w16cid:durableId="310409333">
    <w:abstractNumId w:val="12"/>
  </w:num>
  <w:num w:numId="9" w16cid:durableId="1338537805">
    <w:abstractNumId w:val="11"/>
  </w:num>
  <w:num w:numId="10" w16cid:durableId="1562594741">
    <w:abstractNumId w:val="1"/>
  </w:num>
  <w:num w:numId="11" w16cid:durableId="169561471">
    <w:abstractNumId w:val="7"/>
  </w:num>
  <w:num w:numId="12" w16cid:durableId="397946605">
    <w:abstractNumId w:val="5"/>
  </w:num>
  <w:num w:numId="13" w16cid:durableId="535629012">
    <w:abstractNumId w:val="13"/>
  </w:num>
  <w:num w:numId="14" w16cid:durableId="1641419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987"/>
    <w:rsid w:val="001901EA"/>
    <w:rsid w:val="002B237A"/>
    <w:rsid w:val="004E2D26"/>
    <w:rsid w:val="005D7987"/>
    <w:rsid w:val="00623313"/>
    <w:rsid w:val="006556E8"/>
    <w:rsid w:val="007D4CB9"/>
    <w:rsid w:val="007D509D"/>
    <w:rsid w:val="00C26BD9"/>
    <w:rsid w:val="00C54BE7"/>
    <w:rsid w:val="00DD6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A960E"/>
  <w15:chartTrackingRefBased/>
  <w15:docId w15:val="{1F782CA1-5665-4804-AF0C-638917E7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987"/>
  </w:style>
  <w:style w:type="paragraph" w:styleId="Heading1">
    <w:name w:val="heading 1"/>
    <w:basedOn w:val="Normal"/>
    <w:next w:val="Normal"/>
    <w:link w:val="Heading1Char"/>
    <w:uiPriority w:val="9"/>
    <w:qFormat/>
    <w:rsid w:val="005D79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7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79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79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79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79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9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9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9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9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79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79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9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79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7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987"/>
    <w:rPr>
      <w:rFonts w:eastAsiaTheme="majorEastAsia" w:cstheme="majorBidi"/>
      <w:color w:val="272727" w:themeColor="text1" w:themeTint="D8"/>
    </w:rPr>
  </w:style>
  <w:style w:type="paragraph" w:styleId="Title">
    <w:name w:val="Title"/>
    <w:basedOn w:val="Normal"/>
    <w:next w:val="Normal"/>
    <w:link w:val="TitleChar"/>
    <w:uiPriority w:val="10"/>
    <w:qFormat/>
    <w:rsid w:val="005D7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9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987"/>
    <w:pPr>
      <w:spacing w:before="160"/>
      <w:jc w:val="center"/>
    </w:pPr>
    <w:rPr>
      <w:i/>
      <w:iCs/>
      <w:color w:val="404040" w:themeColor="text1" w:themeTint="BF"/>
    </w:rPr>
  </w:style>
  <w:style w:type="character" w:customStyle="1" w:styleId="QuoteChar">
    <w:name w:val="Quote Char"/>
    <w:basedOn w:val="DefaultParagraphFont"/>
    <w:link w:val="Quote"/>
    <w:uiPriority w:val="29"/>
    <w:rsid w:val="005D7987"/>
    <w:rPr>
      <w:i/>
      <w:iCs/>
      <w:color w:val="404040" w:themeColor="text1" w:themeTint="BF"/>
    </w:rPr>
  </w:style>
  <w:style w:type="paragraph" w:styleId="ListParagraph">
    <w:name w:val="List Paragraph"/>
    <w:basedOn w:val="Normal"/>
    <w:uiPriority w:val="34"/>
    <w:qFormat/>
    <w:rsid w:val="005D7987"/>
    <w:pPr>
      <w:ind w:left="720"/>
      <w:contextualSpacing/>
    </w:pPr>
  </w:style>
  <w:style w:type="character" w:styleId="IntenseEmphasis">
    <w:name w:val="Intense Emphasis"/>
    <w:basedOn w:val="DefaultParagraphFont"/>
    <w:uiPriority w:val="21"/>
    <w:qFormat/>
    <w:rsid w:val="005D7987"/>
    <w:rPr>
      <w:i/>
      <w:iCs/>
      <w:color w:val="0F4761" w:themeColor="accent1" w:themeShade="BF"/>
    </w:rPr>
  </w:style>
  <w:style w:type="paragraph" w:styleId="IntenseQuote">
    <w:name w:val="Intense Quote"/>
    <w:basedOn w:val="Normal"/>
    <w:next w:val="Normal"/>
    <w:link w:val="IntenseQuoteChar"/>
    <w:uiPriority w:val="30"/>
    <w:qFormat/>
    <w:rsid w:val="005D7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987"/>
    <w:rPr>
      <w:i/>
      <w:iCs/>
      <w:color w:val="0F4761" w:themeColor="accent1" w:themeShade="BF"/>
    </w:rPr>
  </w:style>
  <w:style w:type="character" w:styleId="IntenseReference">
    <w:name w:val="Intense Reference"/>
    <w:basedOn w:val="DefaultParagraphFont"/>
    <w:uiPriority w:val="32"/>
    <w:qFormat/>
    <w:rsid w:val="005D7987"/>
    <w:rPr>
      <w:b/>
      <w:bCs/>
      <w:smallCaps/>
      <w:color w:val="0F4761" w:themeColor="accent1" w:themeShade="BF"/>
      <w:spacing w:val="5"/>
    </w:rPr>
  </w:style>
  <w:style w:type="paragraph" w:styleId="Header">
    <w:name w:val="header"/>
    <w:basedOn w:val="Normal"/>
    <w:link w:val="HeaderChar"/>
    <w:uiPriority w:val="99"/>
    <w:unhideWhenUsed/>
    <w:rsid w:val="00C54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BE7"/>
  </w:style>
  <w:style w:type="paragraph" w:styleId="Footer">
    <w:name w:val="footer"/>
    <w:basedOn w:val="Normal"/>
    <w:link w:val="FooterChar"/>
    <w:uiPriority w:val="99"/>
    <w:unhideWhenUsed/>
    <w:rsid w:val="00C54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19A3EA246A3042B930357933FBC2B3" ma:contentTypeVersion="18" ma:contentTypeDescription="Create a new document." ma:contentTypeScope="" ma:versionID="5d1bd48823397b2ef551b63035aaa553">
  <xsd:schema xmlns:xsd="http://www.w3.org/2001/XMLSchema" xmlns:xs="http://www.w3.org/2001/XMLSchema" xmlns:p="http://schemas.microsoft.com/office/2006/metadata/properties" xmlns:ns3="ca17167d-4318-4aa0-b031-906ef75f5c5d" xmlns:ns4="c6d5e28f-3776-4dd0-8616-9ecaeb1ffa3a" targetNamespace="http://schemas.microsoft.com/office/2006/metadata/properties" ma:root="true" ma:fieldsID="bfd0f85996618319fd741db6eb6eaab5" ns3:_="" ns4:_="">
    <xsd:import namespace="ca17167d-4318-4aa0-b031-906ef75f5c5d"/>
    <xsd:import namespace="c6d5e28f-3776-4dd0-8616-9ecaeb1ffa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7167d-4318-4aa0-b031-906ef75f5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5e28f-3776-4dd0-8616-9ecaeb1ffa3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a17167d-4318-4aa0-b031-906ef75f5c5d" xsi:nil="true"/>
  </documentManagement>
</p:properties>
</file>

<file path=customXml/itemProps1.xml><?xml version="1.0" encoding="utf-8"?>
<ds:datastoreItem xmlns:ds="http://schemas.openxmlformats.org/officeDocument/2006/customXml" ds:itemID="{20863ABE-FE5A-43FE-A7A1-FFFC82C5F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7167d-4318-4aa0-b031-906ef75f5c5d"/>
    <ds:schemaRef ds:uri="c6d5e28f-3776-4dd0-8616-9ecaeb1ff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F7EF5D-F73E-4A35-B7D3-ED4D62163537}">
  <ds:schemaRefs>
    <ds:schemaRef ds:uri="http://schemas.microsoft.com/sharepoint/v3/contenttype/forms"/>
  </ds:schemaRefs>
</ds:datastoreItem>
</file>

<file path=customXml/itemProps3.xml><?xml version="1.0" encoding="utf-8"?>
<ds:datastoreItem xmlns:ds="http://schemas.openxmlformats.org/officeDocument/2006/customXml" ds:itemID="{ADB064AC-ABD4-4C20-A2AF-E21DE014D652}">
  <ds:schemaRefs>
    <ds:schemaRef ds:uri="http://schemas.microsoft.com/office/2006/metadata/properties"/>
    <ds:schemaRef ds:uri="http://schemas.microsoft.com/office/infopath/2007/PartnerControls"/>
    <ds:schemaRef ds:uri="ca17167d-4318-4aa0-b031-906ef75f5c5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1440</Words>
  <Characters>6711</Characters>
  <Application>Microsoft Office Word</Application>
  <DocSecurity>0</DocSecurity>
  <Lines>353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Beavis</dc:creator>
  <cp:keywords/>
  <dc:description/>
  <cp:lastModifiedBy>Georgia Beavis</cp:lastModifiedBy>
  <cp:revision>5</cp:revision>
  <dcterms:created xsi:type="dcterms:W3CDTF">2026-02-09T11:00:00Z</dcterms:created>
  <dcterms:modified xsi:type="dcterms:W3CDTF">2026-02-09T12:18:00Z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0x0101009B19A3EA246A3042B930357933FBC2B3</vt:lpwstr>
  </property>
</Properties>
</file>